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SCENIC ROUTE FROM BARCELONA TO MIREPOIX - approx. 4 hours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Leaving El Prat Airport in Barcelona follow signs to BARCELONA and GIRONA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Continue to follow the signs for Girona and you will ultimately end up on the AP-7 to France/Franca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rtl w:val="0"/>
        </w:rPr>
        <w:t xml:space="preserve">Once in France, stay on the highway until exit 41- </w:t>
      </w:r>
      <w:r w:rsidDel="00000000" w:rsidR="00000000" w:rsidRPr="00000000">
        <w:rPr>
          <w:sz w:val="21"/>
          <w:szCs w:val="21"/>
          <w:highlight w:val="white"/>
          <w:rtl w:val="0"/>
        </w:rPr>
        <w:t xml:space="preserve">PERPIGNAN - Nord toward Perpignan - Nord/Salses-le-Château/Aéroport Rivesaltes/Le Barcarès</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Follow the D - 12 toward FOIX</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Stay heading toward FOIX and you will merge onto the D - 117</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You will go up through the beautiful Maury valley… lovely wines so stop if you want to try some!</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You will also pass an incredible old Cathar Castle - Puilaurens - on your left… you should see it from the road… the access road is in the little town right at the point where the road passes under an old stone railway bridge… lovely too!</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You will climb toward a small town called Axat and then at the roundabout you will head right toward Quillan - then climb back up the ridge and head toward Puivert</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Once in Puivert, look for the sign to CHALABRE which is the D-16… it becomes the D-12 for a bit but don't worry</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Follow the D-12/16 into CHALABRE and keep heading toward MIREPOIX </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There are signs all the way to Mirepoix from this point onward!!!</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Enjoy the drive… it is just gorgeous and takes you through some of the most lovely part of this area in France!!!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